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1FAA72" w14:textId="77777777"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332CA3">
        <w:rPr>
          <w:sz w:val="24"/>
        </w:rPr>
        <w:t>7</w:t>
      </w:r>
      <w:r w:rsidR="00B02DFB">
        <w:rPr>
          <w:sz w:val="24"/>
        </w:rPr>
        <w:t>4</w:t>
      </w:r>
      <w:r>
        <w:rPr>
          <w:sz w:val="24"/>
        </w:rPr>
        <w:t xml:space="preserve"> </w:t>
      </w:r>
      <w:r w:rsidRPr="002C1039">
        <w:rPr>
          <w:sz w:val="24"/>
        </w:rPr>
        <w:tab/>
      </w:r>
      <w:r>
        <w:rPr>
          <w:iCs/>
          <w:sz w:val="24"/>
        </w:rPr>
        <w:t>R4-</w:t>
      </w:r>
      <w:r w:rsidR="00741882">
        <w:rPr>
          <w:sz w:val="24"/>
          <w:szCs w:val="24"/>
        </w:rPr>
        <w:t>150182</w:t>
      </w:r>
    </w:p>
    <w:p w14:paraId="43DAD54B" w14:textId="77777777" w:rsidR="00E50C95" w:rsidRPr="00796F09" w:rsidRDefault="00B02DFB" w:rsidP="00E50C95">
      <w:pPr>
        <w:pStyle w:val="Header"/>
        <w:tabs>
          <w:tab w:val="right" w:pos="9630"/>
        </w:tabs>
        <w:spacing w:after="120"/>
        <w:rPr>
          <w:sz w:val="24"/>
        </w:rPr>
      </w:pPr>
      <w:r>
        <w:rPr>
          <w:sz w:val="24"/>
        </w:rPr>
        <w:t>Athens, Greece</w:t>
      </w:r>
      <w:r w:rsidR="00E50C95">
        <w:rPr>
          <w:sz w:val="24"/>
        </w:rPr>
        <w:t xml:space="preserve">, </w:t>
      </w:r>
      <w:r>
        <w:rPr>
          <w:sz w:val="24"/>
        </w:rPr>
        <w:t>9</w:t>
      </w:r>
      <w:r w:rsidR="00332CA3" w:rsidRPr="00332CA3">
        <w:rPr>
          <w:sz w:val="24"/>
          <w:vertAlign w:val="superscript"/>
        </w:rPr>
        <w:t>th</w:t>
      </w:r>
      <w:r w:rsidR="00332CA3">
        <w:rPr>
          <w:sz w:val="24"/>
        </w:rPr>
        <w:t xml:space="preserve"> </w:t>
      </w:r>
      <w:r>
        <w:rPr>
          <w:sz w:val="24"/>
        </w:rPr>
        <w:t>Feburary</w:t>
      </w:r>
      <w:r w:rsidR="00332CA3">
        <w:rPr>
          <w:sz w:val="24"/>
        </w:rPr>
        <w:t xml:space="preserve"> – </w:t>
      </w:r>
      <w:r>
        <w:rPr>
          <w:sz w:val="24"/>
        </w:rPr>
        <w:t>13</w:t>
      </w:r>
      <w:r w:rsidRPr="00B02DFB">
        <w:rPr>
          <w:sz w:val="24"/>
          <w:vertAlign w:val="superscript"/>
        </w:rPr>
        <w:t>th</w:t>
      </w:r>
      <w:r w:rsidR="00430016">
        <w:rPr>
          <w:sz w:val="24"/>
        </w:rPr>
        <w:t xml:space="preserve"> </w:t>
      </w:r>
      <w:r>
        <w:rPr>
          <w:sz w:val="24"/>
        </w:rPr>
        <w:t>Febuary</w:t>
      </w:r>
      <w:r w:rsidR="00E50C95">
        <w:rPr>
          <w:sz w:val="24"/>
        </w:rPr>
        <w:t xml:space="preserve"> </w:t>
      </w:r>
      <w:r w:rsidR="00E50C95" w:rsidRPr="00796F09">
        <w:rPr>
          <w:sz w:val="24"/>
        </w:rPr>
        <w:t>201</w:t>
      </w:r>
      <w:r>
        <w:rPr>
          <w:sz w:val="24"/>
        </w:rPr>
        <w:t>5</w:t>
      </w:r>
    </w:p>
    <w:p w14:paraId="3D357E14" w14:textId="77777777" w:rsidR="00624C4C" w:rsidRPr="009177A5" w:rsidRDefault="00624C4C" w:rsidP="00624C4C">
      <w:pPr>
        <w:spacing w:after="120"/>
        <w:ind w:left="1985" w:hanging="1985"/>
        <w:rPr>
          <w:rFonts w:ascii="Arial" w:hAnsi="Arial" w:cs="Arial"/>
          <w:b/>
          <w:lang w:val="en-US"/>
        </w:rPr>
      </w:pPr>
    </w:p>
    <w:p w14:paraId="4832AB51" w14:textId="77777777"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r w:rsidR="00B02DFB">
        <w:rPr>
          <w:rFonts w:ascii="Arial" w:hAnsi="Arial" w:cs="Arial"/>
          <w:bCs/>
          <w:lang w:val="en-US"/>
        </w:rPr>
        <w:t>, Solaris Mobile Ltd.</w:t>
      </w:r>
    </w:p>
    <w:p w14:paraId="5AE32B66" w14:textId="77777777"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B02DFB">
        <w:rPr>
          <w:rFonts w:ascii="Arial" w:hAnsi="Arial" w:cs="Arial"/>
          <w:lang w:val="en-US"/>
        </w:rPr>
        <w:t>Band plan for Region 1 2 GHz band</w:t>
      </w:r>
      <w:bookmarkStart w:id="13" w:name="_GoBack"/>
      <w:bookmarkEnd w:id="13"/>
    </w:p>
    <w:p w14:paraId="5804D440" w14:textId="77777777"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B02DFB">
        <w:rPr>
          <w:rFonts w:ascii="Arial" w:hAnsi="Arial" w:cs="Arial"/>
          <w:lang w:val="en-US"/>
        </w:rPr>
        <w:t>8.1.1</w:t>
      </w:r>
    </w:p>
    <w:p w14:paraId="4C4F802E" w14:textId="77777777"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430016">
        <w:rPr>
          <w:rFonts w:ascii="Arial" w:hAnsi="Arial" w:cs="Arial"/>
          <w:bCs/>
          <w:lang w:val="en-US"/>
        </w:rPr>
        <w:t>Approval</w:t>
      </w:r>
    </w:p>
    <w:p w14:paraId="20F531E4" w14:textId="77777777" w:rsidR="00624C4C" w:rsidRPr="009177A5" w:rsidRDefault="00624C4C" w:rsidP="00624C4C">
      <w:pPr>
        <w:pBdr>
          <w:bottom w:val="single" w:sz="4" w:space="1" w:color="auto"/>
        </w:pBdr>
        <w:rPr>
          <w:rFonts w:ascii="Arial" w:hAnsi="Arial" w:cs="Arial"/>
          <w:lang w:val="en-US"/>
        </w:rPr>
      </w:pPr>
    </w:p>
    <w:p w14:paraId="7987AEBF" w14:textId="77777777" w:rsidR="00624C4C" w:rsidRDefault="00624C4C" w:rsidP="00624C4C">
      <w:pPr>
        <w:pStyle w:val="Heading2"/>
        <w:rPr>
          <w:lang w:val="en-US"/>
        </w:rPr>
      </w:pPr>
      <w:r>
        <w:rPr>
          <w:lang w:val="en-US"/>
        </w:rPr>
        <w:t>1</w:t>
      </w:r>
      <w:r>
        <w:rPr>
          <w:lang w:val="en-US"/>
        </w:rPr>
        <w:tab/>
        <w:t>Introduction</w:t>
      </w:r>
    </w:p>
    <w:p w14:paraId="6547DB0F" w14:textId="77777777" w:rsidR="00A0731A" w:rsidRDefault="00B02DFB" w:rsidP="00F64536">
      <w:pPr>
        <w:jc w:val="both"/>
        <w:rPr>
          <w:lang w:val="en-US"/>
        </w:rPr>
      </w:pPr>
      <w:r>
        <w:rPr>
          <w:lang w:val="en-US"/>
        </w:rPr>
        <w:t>In RAN #65, it was decided that the Region 1 2 GHz band WI would proceed with the 2x90 MHz band plan with the following specific guideline [1]:</w:t>
      </w:r>
    </w:p>
    <w:p w14:paraId="10ABAA17" w14:textId="77777777" w:rsidR="00B02DFB" w:rsidRPr="00B02DFB" w:rsidRDefault="00B02DFB" w:rsidP="00F64536">
      <w:pPr>
        <w:jc w:val="both"/>
        <w:rPr>
          <w:i/>
          <w:lang w:val="en-US"/>
        </w:rPr>
      </w:pPr>
      <w:proofErr w:type="gramStart"/>
      <w:r w:rsidRPr="00B02DFB">
        <w:rPr>
          <w:i/>
          <w:lang w:val="en-US"/>
        </w:rPr>
        <w:t>however</w:t>
      </w:r>
      <w:proofErr w:type="gramEnd"/>
      <w:r w:rsidRPr="00B02DFB">
        <w:rPr>
          <w:i/>
          <w:lang w:val="en-US"/>
        </w:rPr>
        <w:t xml:space="preserve">, in the 1st Phase of the work we will evaluate potential impacts on 1920-1980 MHz, 2110-2170 MHz before making a final decision on the Band Plan. </w:t>
      </w:r>
      <w:proofErr w:type="gramStart"/>
      <w:r w:rsidRPr="00B02DFB">
        <w:rPr>
          <w:i/>
          <w:lang w:val="en-US"/>
        </w:rPr>
        <w:t>If any impact on performance or any changes w.r.t.</w:t>
      </w:r>
      <w:proofErr w:type="gramEnd"/>
      <w:r w:rsidRPr="00B02DFB">
        <w:rPr>
          <w:i/>
          <w:lang w:val="en-US"/>
        </w:rPr>
        <w:t xml:space="preserve"> </w:t>
      </w:r>
      <w:proofErr w:type="gramStart"/>
      <w:r w:rsidRPr="00B02DFB">
        <w:rPr>
          <w:i/>
          <w:lang w:val="en-US"/>
        </w:rPr>
        <w:t>existing</w:t>
      </w:r>
      <w:proofErr w:type="gramEnd"/>
      <w:r w:rsidRPr="00B02DFB">
        <w:rPr>
          <w:i/>
          <w:lang w:val="en-US"/>
        </w:rPr>
        <w:t xml:space="preserve"> requirements of Band-1 are found, then we will re-visit the Band Plan assumption.</w:t>
      </w:r>
    </w:p>
    <w:p w14:paraId="24A8ED74" w14:textId="77777777" w:rsidR="007D3D8F" w:rsidRDefault="00B02DFB" w:rsidP="00F64536">
      <w:pPr>
        <w:jc w:val="both"/>
        <w:rPr>
          <w:lang w:val="en-US"/>
        </w:rPr>
      </w:pPr>
      <w:r>
        <w:rPr>
          <w:lang w:val="en-US"/>
        </w:rPr>
        <w:t>Many contributions on</w:t>
      </w:r>
      <w:r w:rsidR="007D3D8F">
        <w:rPr>
          <w:lang w:val="en-US"/>
        </w:rPr>
        <w:t xml:space="preserve"> 2x90 MHz band UE architecture and </w:t>
      </w:r>
      <w:r w:rsidR="00E07B8B">
        <w:rPr>
          <w:lang w:val="en-US"/>
        </w:rPr>
        <w:t>potential</w:t>
      </w:r>
      <w:r w:rsidR="007D3D8F">
        <w:rPr>
          <w:lang w:val="en-US"/>
        </w:rPr>
        <w:t xml:space="preserve"> Band 1 performance </w:t>
      </w:r>
      <w:r w:rsidR="00E07B8B">
        <w:rPr>
          <w:lang w:val="en-US"/>
        </w:rPr>
        <w:t>impact</w:t>
      </w:r>
      <w:r w:rsidR="007D3D8F">
        <w:rPr>
          <w:lang w:val="en-US"/>
        </w:rPr>
        <w:t xml:space="preserve"> were discussed in the proceeding two RAN4 meetings [</w:t>
      </w:r>
      <w:r w:rsidR="008531EB">
        <w:rPr>
          <w:lang w:val="en-US"/>
        </w:rPr>
        <w:t>2-11</w:t>
      </w:r>
      <w:r w:rsidR="007D3D8F">
        <w:rPr>
          <w:lang w:val="en-US"/>
        </w:rPr>
        <w:t xml:space="preserve">].  In RAN4 #74, a </w:t>
      </w:r>
      <w:proofErr w:type="spellStart"/>
      <w:r w:rsidR="007D3D8F">
        <w:rPr>
          <w:lang w:val="en-US"/>
        </w:rPr>
        <w:t>wayforward</w:t>
      </w:r>
      <w:proofErr w:type="spellEnd"/>
      <w:r w:rsidR="007D3D8F">
        <w:rPr>
          <w:lang w:val="en-US"/>
        </w:rPr>
        <w:t xml:space="preserve"> </w:t>
      </w:r>
      <w:r w:rsidR="00CA6A3D">
        <w:rPr>
          <w:lang w:val="en-US"/>
        </w:rPr>
        <w:t xml:space="preserve">(WF) </w:t>
      </w:r>
      <w:r w:rsidR="007D3D8F">
        <w:rPr>
          <w:lang w:val="en-US"/>
        </w:rPr>
        <w:t>on UE architecture [</w:t>
      </w:r>
      <w:r w:rsidR="008531EB">
        <w:rPr>
          <w:lang w:val="en-US"/>
        </w:rPr>
        <w:t>11</w:t>
      </w:r>
      <w:r w:rsidR="007D3D8F">
        <w:rPr>
          <w:lang w:val="en-US"/>
        </w:rPr>
        <w:t>] was proposed</w:t>
      </w:r>
      <w:r w:rsidR="00E07B8B">
        <w:rPr>
          <w:lang w:val="en-US"/>
        </w:rPr>
        <w:t xml:space="preserve"> where</w:t>
      </w:r>
      <w:r w:rsidR="007D3D8F">
        <w:rPr>
          <w:lang w:val="en-US"/>
        </w:rPr>
        <w:t>:</w:t>
      </w:r>
    </w:p>
    <w:p w14:paraId="7FAA3E59" w14:textId="77777777" w:rsidR="007D3D8F" w:rsidRPr="007D3D8F" w:rsidRDefault="007D3D8F" w:rsidP="007D3D8F">
      <w:pPr>
        <w:jc w:val="both"/>
        <w:rPr>
          <w:i/>
          <w:lang w:val="en-US"/>
        </w:rPr>
      </w:pPr>
      <w:r w:rsidRPr="007D3D8F">
        <w:rPr>
          <w:i/>
          <w:lang w:val="en-US"/>
        </w:rPr>
        <w:t>A dual duplexer UE implementation is assumed for a 2x90MHz band, where</w:t>
      </w:r>
    </w:p>
    <w:p w14:paraId="4126D9E9" w14:textId="77777777" w:rsidR="007D3D8F" w:rsidRPr="007D3D8F" w:rsidRDefault="007D3D8F" w:rsidP="007D3D8F">
      <w:pPr>
        <w:pStyle w:val="ListParagraph"/>
        <w:numPr>
          <w:ilvl w:val="0"/>
          <w:numId w:val="37"/>
        </w:numPr>
        <w:jc w:val="both"/>
        <w:rPr>
          <w:i/>
          <w:lang w:val="en-US"/>
        </w:rPr>
      </w:pPr>
      <w:r w:rsidRPr="007D3D8F">
        <w:rPr>
          <w:i/>
          <w:lang w:val="en-US"/>
        </w:rPr>
        <w:t xml:space="preserve">The lower duplexer is Band 1 (2x60MHz) </w:t>
      </w:r>
    </w:p>
    <w:p w14:paraId="0A82A9F9" w14:textId="77777777" w:rsidR="007D3D8F" w:rsidRPr="007D3D8F" w:rsidRDefault="007D3D8F" w:rsidP="007D3D8F">
      <w:pPr>
        <w:pStyle w:val="ListParagraph"/>
        <w:numPr>
          <w:ilvl w:val="0"/>
          <w:numId w:val="37"/>
        </w:numPr>
        <w:jc w:val="both"/>
        <w:rPr>
          <w:i/>
          <w:lang w:val="en-US"/>
        </w:rPr>
      </w:pPr>
      <w:r w:rsidRPr="007D3D8F">
        <w:rPr>
          <w:i/>
          <w:lang w:val="en-US"/>
        </w:rPr>
        <w:t xml:space="preserve">The upper duplexer is TBD </w:t>
      </w:r>
    </w:p>
    <w:p w14:paraId="51BF5F44" w14:textId="77777777" w:rsidR="007D3D8F" w:rsidRPr="007D3D8F" w:rsidRDefault="007D3D8F" w:rsidP="007D3D8F">
      <w:pPr>
        <w:jc w:val="both"/>
        <w:rPr>
          <w:i/>
          <w:lang w:val="en-US"/>
        </w:rPr>
      </w:pPr>
      <w:r w:rsidRPr="007D3D8F">
        <w:rPr>
          <w:i/>
          <w:lang w:val="en-US"/>
        </w:rPr>
        <w:t>Band 1 performance within 1920-1980/2110-2170MHz is kept with a 2x90MHz band plan with the dual duplexer as above</w:t>
      </w:r>
    </w:p>
    <w:p w14:paraId="35B69B2E" w14:textId="77777777" w:rsidR="00EE1B51" w:rsidRDefault="007D3D8F" w:rsidP="00F64536">
      <w:pPr>
        <w:jc w:val="both"/>
        <w:rPr>
          <w:lang w:val="en-US"/>
        </w:rPr>
      </w:pPr>
      <w:r>
        <w:rPr>
          <w:lang w:val="en-US"/>
        </w:rPr>
        <w:t xml:space="preserve">The </w:t>
      </w:r>
      <w:r w:rsidR="00CA6A3D">
        <w:rPr>
          <w:lang w:val="en-US"/>
        </w:rPr>
        <w:t>WF</w:t>
      </w:r>
      <w:r>
        <w:rPr>
          <w:lang w:val="en-US"/>
        </w:rPr>
        <w:t xml:space="preserve"> could not be agreed </w:t>
      </w:r>
      <w:r w:rsidR="002F7409">
        <w:rPr>
          <w:lang w:val="en-US"/>
        </w:rPr>
        <w:t xml:space="preserve">due to concerns raised by a few companies.  In this contribution, </w:t>
      </w:r>
      <w:r w:rsidR="00E07B8B">
        <w:rPr>
          <w:lang w:val="en-US"/>
        </w:rPr>
        <w:t xml:space="preserve">two main </w:t>
      </w:r>
      <w:r w:rsidR="002F7409">
        <w:rPr>
          <w:lang w:val="en-US"/>
        </w:rPr>
        <w:t>observations are made</w:t>
      </w:r>
      <w:r w:rsidR="00E07B8B">
        <w:rPr>
          <w:lang w:val="en-US"/>
        </w:rPr>
        <w:t xml:space="preserve"> regarding the RAN4 discussions, as well as the related RAN guidelines,</w:t>
      </w:r>
      <w:r w:rsidR="002F7409">
        <w:rPr>
          <w:lang w:val="en-US"/>
        </w:rPr>
        <w:t xml:space="preserve"> and it is proposed that the WI proceed with the 2x90 MHz band plan.</w:t>
      </w:r>
    </w:p>
    <w:p w14:paraId="396C07A2" w14:textId="77777777" w:rsidR="007D3D8F" w:rsidRDefault="007D3D8F" w:rsidP="00F64536">
      <w:pPr>
        <w:jc w:val="both"/>
        <w:rPr>
          <w:lang w:val="en-US"/>
        </w:rPr>
      </w:pPr>
    </w:p>
    <w:p w14:paraId="006D961E" w14:textId="77777777" w:rsidR="00624C4C" w:rsidRDefault="00624C4C" w:rsidP="00624C4C">
      <w:pPr>
        <w:pStyle w:val="Heading2"/>
      </w:pPr>
      <w:bookmarkStart w:id="14" w:name="_Toc354623709"/>
      <w:r>
        <w:rPr>
          <w:lang w:val="en-US"/>
        </w:rPr>
        <w:t>2</w:t>
      </w:r>
      <w:r>
        <w:rPr>
          <w:lang w:val="en-US"/>
        </w:rPr>
        <w:tab/>
      </w:r>
      <w:r w:rsidR="007D3D8F">
        <w:rPr>
          <w:lang w:val="en-US"/>
        </w:rPr>
        <w:t>Observations</w:t>
      </w:r>
    </w:p>
    <w:p w14:paraId="07249C39" w14:textId="77777777" w:rsidR="008531EB" w:rsidRDefault="00296AF1" w:rsidP="008531EB">
      <w:r>
        <w:t>Two main</w:t>
      </w:r>
      <w:r w:rsidR="0088154C">
        <w:t xml:space="preserve"> observations are made based on the contributions and discussions during the past two RAN# 4 meetings regarding the </w:t>
      </w:r>
      <w:r>
        <w:t>2x90 MHz band plan</w:t>
      </w:r>
      <w:r w:rsidR="0088154C">
        <w:t>:</w:t>
      </w:r>
    </w:p>
    <w:p w14:paraId="2289E757" w14:textId="77777777" w:rsidR="0088154C" w:rsidRPr="0088154C" w:rsidRDefault="0088154C" w:rsidP="008531EB">
      <w:pPr>
        <w:rPr>
          <w:i/>
        </w:rPr>
      </w:pPr>
      <w:r w:rsidRPr="0088154C">
        <w:rPr>
          <w:i/>
        </w:rPr>
        <w:t xml:space="preserve">Observation #1:  It is clear that split duplexer </w:t>
      </w:r>
      <w:r w:rsidR="00D74B55">
        <w:rPr>
          <w:i/>
        </w:rPr>
        <w:t xml:space="preserve">UE </w:t>
      </w:r>
      <w:r w:rsidRPr="0088154C">
        <w:rPr>
          <w:i/>
        </w:rPr>
        <w:t>architecture employing Band 1 duplexer as the lower duplexer ensures existing Band 1 performance</w:t>
      </w:r>
    </w:p>
    <w:p w14:paraId="1F7CAF2A" w14:textId="77777777" w:rsidR="0088154C" w:rsidRDefault="0088154C" w:rsidP="008531EB">
      <w:r>
        <w:t xml:space="preserve">Many contributions and discussions were focused on Band 1 performance protection and </w:t>
      </w:r>
      <w:r w:rsidR="00D74B55">
        <w:t xml:space="preserve">there is an agreement that the described UE architecture for the 2x90MHz band plan would </w:t>
      </w:r>
      <w:r w:rsidR="00022A67">
        <w:t>protect existing Band 1 performance.  Even contributions opposing the 2x90MHz plan [10] agree that such UE architecture</w:t>
      </w:r>
      <w:r w:rsidR="00296AF1">
        <w:t>, when implemented,</w:t>
      </w:r>
      <w:r w:rsidR="00022A67">
        <w:t xml:space="preserve"> would protect Band 1 performance.  It is observed that the RAN guidance on band plan is satisfied with </w:t>
      </w:r>
      <w:r w:rsidR="00296AF1">
        <w:t xml:space="preserve">the proposed </w:t>
      </w:r>
      <w:r w:rsidR="00022A67">
        <w:t>split duplexer UE architecture.</w:t>
      </w:r>
    </w:p>
    <w:p w14:paraId="0D58A315" w14:textId="77777777" w:rsidR="00022A67" w:rsidRPr="00022A67" w:rsidRDefault="00022A67" w:rsidP="008531EB">
      <w:pPr>
        <w:rPr>
          <w:i/>
        </w:rPr>
      </w:pPr>
      <w:r w:rsidRPr="00022A67">
        <w:rPr>
          <w:i/>
        </w:rPr>
        <w:t xml:space="preserve">Observation #2:  The band plan discussion is for Region 1.  RAN decision was to create two separate items for Regions 1 and 3. </w:t>
      </w:r>
    </w:p>
    <w:p w14:paraId="1C751D08" w14:textId="77777777" w:rsidR="00022A67" w:rsidRDefault="00022A67" w:rsidP="008531EB">
      <w:r>
        <w:t xml:space="preserve">It is observed that </w:t>
      </w:r>
      <w:r w:rsidR="00937375">
        <w:t>some Region 3 specific comments and issues were raised during the Region 1 WI discussion to oppose the WF [</w:t>
      </w:r>
      <w:r w:rsidR="00B6414A">
        <w:t>12</w:t>
      </w:r>
      <w:r w:rsidR="00937375">
        <w:t xml:space="preserve">].  </w:t>
      </w:r>
      <w:r w:rsidR="00531634">
        <w:t>It was a RAN decision to create two separate 2 GHz items for Regions 1 and 3, and it is also noted that there is a separate Region 3 SI addressing Region 3 specific issues.</w:t>
      </w:r>
      <w:r w:rsidR="00514975">
        <w:t xml:space="preserve">  While all comments and feedbacks are helpful, </w:t>
      </w:r>
      <w:r w:rsidR="00B6414A">
        <w:t xml:space="preserve">the scope of the Region 1 WI must be limited to Region 1 and specific WI </w:t>
      </w:r>
      <w:r w:rsidR="00514975">
        <w:t xml:space="preserve">decisions must be </w:t>
      </w:r>
      <w:r w:rsidR="00B6414A">
        <w:t>based on Region 1 needs.</w:t>
      </w:r>
    </w:p>
    <w:p w14:paraId="53E7872C" w14:textId="77777777" w:rsidR="00D11D78" w:rsidRDefault="00D11D78" w:rsidP="008531EB"/>
    <w:p w14:paraId="74397B36" w14:textId="77777777" w:rsidR="004A3E83" w:rsidRPr="00341591" w:rsidRDefault="007022EC" w:rsidP="007022EC">
      <w:pPr>
        <w:pStyle w:val="Heading2"/>
        <w:ind w:left="0" w:firstLine="0"/>
        <w:rPr>
          <w:color w:val="000000"/>
        </w:rPr>
      </w:pPr>
      <w:r>
        <w:lastRenderedPageBreak/>
        <w:t xml:space="preserve">3 </w:t>
      </w:r>
      <w:r>
        <w:tab/>
      </w:r>
      <w:r>
        <w:tab/>
      </w:r>
      <w:r>
        <w:tab/>
      </w:r>
      <w:r>
        <w:tab/>
      </w:r>
      <w:r w:rsidR="008531EB">
        <w:rPr>
          <w:color w:val="000000"/>
        </w:rPr>
        <w:t>Proposal</w:t>
      </w:r>
    </w:p>
    <w:p w14:paraId="5C38AF11" w14:textId="77777777" w:rsidR="005D614A" w:rsidRDefault="00833738" w:rsidP="00ED24E8">
      <w:pPr>
        <w:pStyle w:val="MediumGrid21"/>
        <w:rPr>
          <w:lang w:val="en-US"/>
        </w:rPr>
      </w:pPr>
      <w:r>
        <w:t xml:space="preserve">The Region 1 2 GHz band WI </w:t>
      </w:r>
      <w:r w:rsidR="009C78AD">
        <w:t>is governed</w:t>
      </w:r>
      <w:r>
        <w:t xml:space="preserve"> </w:t>
      </w:r>
      <w:r w:rsidR="00B2165D">
        <w:t xml:space="preserve">by two specific RAN guidelines, </w:t>
      </w:r>
      <w:r w:rsidR="009C78AD">
        <w:rPr>
          <w:lang w:val="en-US"/>
        </w:rPr>
        <w:t>Region 1 spe</w:t>
      </w:r>
      <w:r w:rsidR="00B2165D">
        <w:rPr>
          <w:lang w:val="en-US"/>
        </w:rPr>
        <w:t>c</w:t>
      </w:r>
      <w:r w:rsidR="00CA6A3D">
        <w:rPr>
          <w:lang w:val="en-US"/>
        </w:rPr>
        <w:t xml:space="preserve">ificity and Band 1 protection, </w:t>
      </w:r>
      <w:r w:rsidR="00B2165D">
        <w:rPr>
          <w:lang w:val="en-US"/>
        </w:rPr>
        <w:t xml:space="preserve">and RAN4 needs to abide by these specific </w:t>
      </w:r>
      <w:r w:rsidR="00CA6A3D">
        <w:rPr>
          <w:lang w:val="en-US"/>
        </w:rPr>
        <w:t xml:space="preserve">guidelines in its deliberation.  </w:t>
      </w:r>
      <w:r w:rsidR="009C78AD">
        <w:rPr>
          <w:lang w:val="en-US"/>
        </w:rPr>
        <w:t>It is observed that the 2x90 MHz band plan with split duplexer UE architecture employing Band 1 duplexer as the lower duplexer satisf</w:t>
      </w:r>
      <w:r w:rsidR="00CA6A3D">
        <w:rPr>
          <w:lang w:val="en-US"/>
        </w:rPr>
        <w:t>ies</w:t>
      </w:r>
      <w:r w:rsidR="009C78AD">
        <w:rPr>
          <w:lang w:val="en-US"/>
        </w:rPr>
        <w:t xml:space="preserve"> the RAN guidelines and it is proposed that the Region 1 WI proceed with the 2x90 MHz band plan.</w:t>
      </w:r>
    </w:p>
    <w:p w14:paraId="05A1011C" w14:textId="77777777" w:rsidR="009C78AD" w:rsidRDefault="009C78AD" w:rsidP="00ED24E8">
      <w:pPr>
        <w:pStyle w:val="MediumGrid21"/>
        <w:rPr>
          <w:lang w:val="en-US"/>
        </w:rPr>
      </w:pPr>
    </w:p>
    <w:p w14:paraId="0CB45229" w14:textId="77777777" w:rsidR="009C78AD" w:rsidRDefault="009C78AD" w:rsidP="00ED24E8">
      <w:pPr>
        <w:pStyle w:val="MediumGrid21"/>
        <w:rPr>
          <w:b/>
          <w:i/>
          <w:lang w:val="en-US"/>
        </w:rPr>
      </w:pPr>
      <w:r w:rsidRPr="00AC0509">
        <w:rPr>
          <w:b/>
          <w:i/>
          <w:lang w:val="en-US"/>
        </w:rPr>
        <w:t xml:space="preserve">Proposal:  </w:t>
      </w:r>
      <w:r w:rsidR="00AC0509" w:rsidRPr="00AC0509">
        <w:rPr>
          <w:b/>
          <w:i/>
          <w:lang w:val="en-US"/>
        </w:rPr>
        <w:t xml:space="preserve">The Region 1 2 GHz WI shall progress with the 2x90 MHz band plan </w:t>
      </w:r>
    </w:p>
    <w:p w14:paraId="7CC0B134" w14:textId="77777777" w:rsidR="00AC0509" w:rsidRPr="00AC0509" w:rsidRDefault="00AC0509" w:rsidP="00ED24E8">
      <w:pPr>
        <w:pStyle w:val="MediumGrid21"/>
        <w:rPr>
          <w:b/>
          <w:i/>
          <w:lang w:val="en-US"/>
        </w:rPr>
      </w:pPr>
    </w:p>
    <w:p w14:paraId="075B0E95" w14:textId="77777777" w:rsidR="008735D1" w:rsidRPr="00291B8E" w:rsidRDefault="008735D1" w:rsidP="008735D1">
      <w:pPr>
        <w:pStyle w:val="Heading2"/>
      </w:pPr>
      <w:r w:rsidRPr="00291B8E">
        <w:t>References</w:t>
      </w:r>
    </w:p>
    <w:p w14:paraId="4B4B12D1" w14:textId="77777777" w:rsidR="008A4725" w:rsidRPr="008531EB" w:rsidRDefault="008A4725" w:rsidP="00291B8E">
      <w:pPr>
        <w:pStyle w:val="myReference"/>
        <w:rPr>
          <w:rFonts w:eastAsia="Malgun Gothic"/>
        </w:rPr>
      </w:pPr>
      <w:bookmarkStart w:id="15" w:name="_Ref355944417"/>
      <w:r w:rsidRPr="00291B8E">
        <w:rPr>
          <w:rFonts w:eastAsia="Malgun Gothic"/>
        </w:rPr>
        <w:t>RP-</w:t>
      </w:r>
      <w:r w:rsidR="007D3D8F">
        <w:rPr>
          <w:rFonts w:eastAsia="Malgun Gothic"/>
        </w:rPr>
        <w:t>141710</w:t>
      </w:r>
      <w:r w:rsidRPr="00291B8E">
        <w:rPr>
          <w:rFonts w:eastAsia="Malgun Gothic"/>
        </w:rPr>
        <w:t>,</w:t>
      </w:r>
      <w:bookmarkEnd w:id="15"/>
      <w:r w:rsidR="00BF5735" w:rsidRPr="00291B8E">
        <w:rPr>
          <w:rFonts w:eastAsia="Malgun Gothic"/>
        </w:rPr>
        <w:t xml:space="preserve"> “</w:t>
      </w:r>
      <w:r w:rsidR="007D3D8F" w:rsidRPr="007D3D8F">
        <w:rPr>
          <w:rFonts w:eastAsia="Malgun Gothic"/>
        </w:rPr>
        <w:t>Revised WID:  2 GHz LTE Band for Region 1</w:t>
      </w:r>
      <w:r w:rsidR="00BF5735">
        <w:rPr>
          <w:rFonts w:eastAsia="Malgun Gothic"/>
        </w:rPr>
        <w:t xml:space="preserve">”, </w:t>
      </w:r>
      <w:r w:rsidR="007D3D8F">
        <w:rPr>
          <w:rFonts w:eastAsia="Malgun Gothic"/>
        </w:rPr>
        <w:t>DISH Network, Solaris Mobile Ltd</w:t>
      </w:r>
      <w:r w:rsidR="00BF5735">
        <w:rPr>
          <w:rFonts w:eastAsia="Malgun Gothic"/>
        </w:rPr>
        <w:t xml:space="preserve">, 3GPP </w:t>
      </w:r>
      <w:r w:rsidR="00BF5735" w:rsidRPr="008531EB">
        <w:rPr>
          <w:rFonts w:eastAsia="Malgun Gothic"/>
        </w:rPr>
        <w:t>RAN#6</w:t>
      </w:r>
      <w:r w:rsidR="007D3D8F" w:rsidRPr="008531EB">
        <w:rPr>
          <w:rFonts w:eastAsia="Malgun Gothic"/>
        </w:rPr>
        <w:t>5</w:t>
      </w:r>
      <w:r w:rsidR="00BF5735" w:rsidRPr="008531EB">
        <w:rPr>
          <w:rFonts w:eastAsia="Malgun Gothic"/>
        </w:rPr>
        <w:t xml:space="preserve">, </w:t>
      </w:r>
      <w:r w:rsidR="007D3D8F" w:rsidRPr="008531EB">
        <w:rPr>
          <w:rFonts w:eastAsia="Malgun Gothic"/>
        </w:rPr>
        <w:t>Edinburgh, Scotland</w:t>
      </w:r>
      <w:r w:rsidR="00BF5735" w:rsidRPr="008531EB">
        <w:rPr>
          <w:rFonts w:eastAsia="Malgun Gothic"/>
        </w:rPr>
        <w:t xml:space="preserve">, </w:t>
      </w:r>
      <w:r w:rsidR="007D3D8F" w:rsidRPr="008531EB">
        <w:rPr>
          <w:rFonts w:eastAsia="Malgun Gothic"/>
        </w:rPr>
        <w:t>September</w:t>
      </w:r>
      <w:r w:rsidR="00BF5735" w:rsidRPr="008531EB">
        <w:rPr>
          <w:rFonts w:eastAsia="Malgun Gothic"/>
        </w:rPr>
        <w:t xml:space="preserve"> 2014</w:t>
      </w:r>
    </w:p>
    <w:p w14:paraId="1A1DA79B" w14:textId="77777777" w:rsidR="008531EB" w:rsidRPr="008531EB" w:rsidRDefault="008531EB" w:rsidP="008531EB">
      <w:pPr>
        <w:pStyle w:val="myReference"/>
      </w:pPr>
      <w:r w:rsidRPr="008531EB">
        <w:t>R4-145827, “Duplexer options for 90MHz band plan, Nokia Networks”, Nokia Corporation, TSG RAN WG4 #72bis, Singapore</w:t>
      </w:r>
    </w:p>
    <w:p w14:paraId="7EB3AA50" w14:textId="77777777" w:rsidR="008531EB" w:rsidRPr="008531EB" w:rsidRDefault="008531EB" w:rsidP="008531EB">
      <w:pPr>
        <w:pStyle w:val="myReference"/>
      </w:pPr>
      <w:r w:rsidRPr="008531EB">
        <w:t>R4-146410, “2 GHz band plan”, Ericsson, TSG RAN WG4 #72bis, Singapore</w:t>
      </w:r>
    </w:p>
    <w:p w14:paraId="4D99CA6E" w14:textId="77777777" w:rsidR="008531EB" w:rsidRPr="008531EB" w:rsidRDefault="008531EB" w:rsidP="008531EB">
      <w:pPr>
        <w:pStyle w:val="myReference"/>
      </w:pPr>
      <w:r w:rsidRPr="008531EB">
        <w:t>R4-145945, “Band plan and UE RF performance”, NTT DOCOMO, Inc., TSG RAN WG4 #72bis, Singapore</w:t>
      </w:r>
    </w:p>
    <w:p w14:paraId="1FF7B21C" w14:textId="77777777" w:rsidR="008531EB" w:rsidRPr="008531EB" w:rsidRDefault="008531EB" w:rsidP="008531EB">
      <w:pPr>
        <w:pStyle w:val="myReference"/>
      </w:pPr>
      <w:r w:rsidRPr="008531EB">
        <w:t>R4-146725, “Way forward on 2 GHz band plan”, Ericsson, Sony Mobile Communications Japan Inc., Nokia Corporation, DISH, Solaris Mobile Ltd, Nokia Networks, KT, TSG RAN WG4 #72bis, Singapore</w:t>
      </w:r>
    </w:p>
    <w:p w14:paraId="7C788EF8" w14:textId="77777777" w:rsidR="008531EB" w:rsidRPr="008531EB" w:rsidRDefault="008531EB" w:rsidP="008531EB">
      <w:pPr>
        <w:pStyle w:val="myReference"/>
      </w:pPr>
      <w:r w:rsidRPr="008531EB">
        <w:t xml:space="preserve">R4-147240, “A </w:t>
      </w:r>
      <w:proofErr w:type="spellStart"/>
      <w:r w:rsidRPr="008531EB">
        <w:t>wayforward</w:t>
      </w:r>
      <w:proofErr w:type="spellEnd"/>
      <w:r w:rsidRPr="008531EB">
        <w:t xml:space="preserve"> on 90MHz band plan”, Nokia Networks, Nokia Corporation, TSG RAN WG4 #73, San Francisco, USA</w:t>
      </w:r>
    </w:p>
    <w:p w14:paraId="3811C624" w14:textId="77777777" w:rsidR="008531EB" w:rsidRPr="008531EB" w:rsidRDefault="008531EB" w:rsidP="008531EB">
      <w:pPr>
        <w:pStyle w:val="myReference"/>
      </w:pPr>
      <w:r w:rsidRPr="008531EB">
        <w:t>R4-147746, “2 GHz MSS band UE considerations”, Qualcomm Incorporated, TSG RAN WG4 #73, San Francisco, USA</w:t>
      </w:r>
    </w:p>
    <w:p w14:paraId="1CEB2B45" w14:textId="77777777" w:rsidR="008531EB" w:rsidRPr="008531EB" w:rsidRDefault="008531EB" w:rsidP="008531EB">
      <w:pPr>
        <w:pStyle w:val="myReference"/>
      </w:pPr>
      <w:r w:rsidRPr="008531EB">
        <w:t>R4-147602, “Band 1 performance for UEs supporting inter-band combinations with Band 1 and the 2GHz LTE band in Region 1”, Ericsson, Sony Mobile, TSG RAN WG4 #73, San Francisco, USA</w:t>
      </w:r>
    </w:p>
    <w:p w14:paraId="04E7C7E4" w14:textId="77777777" w:rsidR="008531EB" w:rsidRPr="008531EB" w:rsidRDefault="008531EB" w:rsidP="008531EB">
      <w:pPr>
        <w:pStyle w:val="myReference"/>
      </w:pPr>
      <w:r w:rsidRPr="008531EB">
        <w:t>R4-147608, “Possible UE architectures to keep B1 performance”, Ericsson, Sony Mobile, TSG RAN WG4 #73, San Francisco, USA</w:t>
      </w:r>
    </w:p>
    <w:p w14:paraId="4AEC36CA" w14:textId="77777777" w:rsidR="008531EB" w:rsidRPr="008531EB" w:rsidRDefault="008531EB" w:rsidP="008531EB">
      <w:pPr>
        <w:pStyle w:val="myReference"/>
      </w:pPr>
      <w:r w:rsidRPr="008531EB">
        <w:t>R4-147279, “2GHz band plan”, NTT DOCOMO, INC., TSG RAN WG4 #73, San Francisco, USA</w:t>
      </w:r>
    </w:p>
    <w:p w14:paraId="62FECFBA" w14:textId="77777777" w:rsidR="008531EB" w:rsidRDefault="008531EB" w:rsidP="008531EB">
      <w:pPr>
        <w:pStyle w:val="myReference"/>
      </w:pPr>
      <w:r w:rsidRPr="008531EB">
        <w:t xml:space="preserve">R4-147951, “Way Forward on Frequency Band Arrangements for 2 GHz LTE Band in Region 1”, Ericsson, DISH, KT, Sony Mobile Communications Japan Inc., Nokia Networks, Nokia Corporation, LG </w:t>
      </w:r>
      <w:proofErr w:type="spellStart"/>
      <w:r w:rsidRPr="008531EB">
        <w:t>Uplus</w:t>
      </w:r>
      <w:proofErr w:type="spellEnd"/>
      <w:r w:rsidRPr="008531EB">
        <w:t>, TSG RAN WG4 #73, San Francisco, USA</w:t>
      </w:r>
    </w:p>
    <w:p w14:paraId="6474056F" w14:textId="77777777" w:rsidR="00B6414A" w:rsidRDefault="00B6414A" w:rsidP="00B6414A">
      <w:pPr>
        <w:pStyle w:val="myReference"/>
      </w:pPr>
      <w:r w:rsidRPr="008531EB">
        <w:t>R4-</w:t>
      </w:r>
      <w:r>
        <w:t>xxxxx</w:t>
      </w:r>
      <w:r w:rsidRPr="008531EB">
        <w:t>, “</w:t>
      </w:r>
      <w:r>
        <w:t>Draft Chairman Notes RAN4 #73</w:t>
      </w:r>
      <w:r w:rsidRPr="008531EB">
        <w:t>”, TSG RAN WG4 #73, San Francisco, USA</w:t>
      </w:r>
    </w:p>
    <w:bookmarkEnd w:id="0"/>
    <w:bookmarkEnd w:id="1"/>
    <w:bookmarkEnd w:id="2"/>
    <w:bookmarkEnd w:id="3"/>
    <w:bookmarkEnd w:id="4"/>
    <w:bookmarkEnd w:id="5"/>
    <w:bookmarkEnd w:id="6"/>
    <w:bookmarkEnd w:id="7"/>
    <w:bookmarkEnd w:id="8"/>
    <w:bookmarkEnd w:id="9"/>
    <w:bookmarkEnd w:id="10"/>
    <w:bookmarkEnd w:id="11"/>
    <w:bookmarkEnd w:id="14"/>
    <w:p w14:paraId="52015E9F" w14:textId="77777777" w:rsidR="00367047" w:rsidRPr="00E52F39" w:rsidRDefault="00367047" w:rsidP="00B85E74">
      <w:pPr>
        <w:rPr>
          <w:rFonts w:eastAsia="Malgun Gothic"/>
        </w:rPr>
      </w:pPr>
    </w:p>
    <w:sectPr w:rsidR="00367047" w:rsidRPr="00E52F39"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DD01F6" w14:textId="77777777" w:rsidR="00B2165D" w:rsidRDefault="00B2165D">
      <w:r>
        <w:separator/>
      </w:r>
    </w:p>
  </w:endnote>
  <w:endnote w:type="continuationSeparator" w:id="0">
    <w:p w14:paraId="1E6C2B24" w14:textId="77777777" w:rsidR="00B2165D" w:rsidRDefault="00B21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SimSun">
    <w:altName w:val="宋体"/>
    <w:panose1 w:val="00000000000000000000"/>
    <w:charset w:val="86"/>
    <w:family w:val="auto"/>
    <w:notTrueType/>
    <w:pitch w:val="variable"/>
    <w:sig w:usb0="00000001" w:usb1="080E0000" w:usb2="00000010" w:usb3="00000000" w:csb0="00040000" w:csb1="00000000"/>
  </w:font>
  <w:font w:name="Batang">
    <w:altName w:val="바탕"/>
    <w:charset w:val="81"/>
    <w:family w:val="roman"/>
    <w:pitch w:val="variable"/>
    <w:sig w:usb0="B00002AF" w:usb1="69D77CFB" w:usb2="00000030" w:usb3="00000000" w:csb0="0008009F"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Vrinda">
    <w:panose1 w:val="00000000000000000000"/>
    <w:charset w:val="01"/>
    <w:family w:val="roman"/>
    <w:notTrueType/>
    <w:pitch w:val="variable"/>
  </w:font>
  <w:font w:name="Calibri">
    <w:panose1 w:val="020F05020202040302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97D7CD" w14:textId="77777777" w:rsidR="00B2165D" w:rsidRDefault="00B2165D">
      <w:r>
        <w:separator/>
      </w:r>
    </w:p>
  </w:footnote>
  <w:footnote w:type="continuationSeparator" w:id="0">
    <w:p w14:paraId="068F8CAB" w14:textId="77777777" w:rsidR="00B2165D" w:rsidRDefault="00B2165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4534FDC" w14:textId="77777777" w:rsidR="00B2165D" w:rsidRDefault="00741882">
    <w:pPr>
      <w:pStyle w:val="Header"/>
    </w:pPr>
    <w:r>
      <w:pict w14:anchorId="2A832A92">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17F6859" w14:textId="77777777" w:rsidR="00B2165D" w:rsidRDefault="00741882">
    <w:pPr>
      <w:pStyle w:val="Header"/>
    </w:pPr>
    <w:r>
      <w:pict w14:anchorId="0504DCD0">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35pt;height:24pt" o:bullet="t">
        <v:imagedata r:id="rId1" o:title="clip_image001"/>
      </v:shape>
    </w:pict>
  </w:numPicBullet>
  <w:abstractNum w:abstractNumId="0">
    <w:nsid w:val="FFFFFF1D"/>
    <w:multiLevelType w:val="multilevel"/>
    <w:tmpl w:val="E47296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48C66AC2"/>
    <w:lvl w:ilvl="0">
      <w:numFmt w:val="bullet"/>
      <w:lvlText w:val="*"/>
      <w:lvlJc w:val="left"/>
    </w:lvl>
  </w:abstractNum>
  <w:abstractNum w:abstractNumId="2">
    <w:nsid w:val="05F12ED4"/>
    <w:multiLevelType w:val="hybridMultilevel"/>
    <w:tmpl w:val="9AAC5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E0F24"/>
    <w:multiLevelType w:val="hybridMultilevel"/>
    <w:tmpl w:val="19AC5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D90D28"/>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5">
    <w:nsid w:val="0D70356F"/>
    <w:multiLevelType w:val="hybridMultilevel"/>
    <w:tmpl w:val="28EAEF82"/>
    <w:lvl w:ilvl="0" w:tplc="FEAA6058">
      <w:numFmt w:val="bullet"/>
      <w:lvlText w:val="-"/>
      <w:lvlJc w:val="left"/>
      <w:pPr>
        <w:tabs>
          <w:tab w:val="num" w:pos="1080"/>
        </w:tabs>
        <w:ind w:left="1080" w:hanging="720"/>
      </w:pPr>
      <w:rPr>
        <w:rFonts w:ascii="Times New Roman" w:eastAsia="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F">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0E382183"/>
    <w:multiLevelType w:val="hybridMultilevel"/>
    <w:tmpl w:val="2696A1C0"/>
    <w:lvl w:ilvl="0" w:tplc="54163950">
      <w:start w:val="2"/>
      <w:numFmt w:val="decimal"/>
      <w:lvlText w:val="%1&gt;"/>
      <w:lvlJc w:val="left"/>
      <w:pPr>
        <w:tabs>
          <w:tab w:val="num" w:pos="927"/>
        </w:tabs>
        <w:ind w:left="927" w:hanging="360"/>
      </w:pPr>
      <w:rPr>
        <w:rFonts w:eastAsia="SimSu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nsid w:val="1956272B"/>
    <w:multiLevelType w:val="hybridMultilevel"/>
    <w:tmpl w:val="C90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BA46E0"/>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9">
    <w:nsid w:val="2E1227E1"/>
    <w:multiLevelType w:val="hybridMultilevel"/>
    <w:tmpl w:val="48E04F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537DFB"/>
    <w:multiLevelType w:val="hybridMultilevel"/>
    <w:tmpl w:val="9DFC7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D729B5"/>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2">
    <w:nsid w:val="33532319"/>
    <w:multiLevelType w:val="hybridMultilevel"/>
    <w:tmpl w:val="7EF640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60246A"/>
    <w:multiLevelType w:val="hybridMultilevel"/>
    <w:tmpl w:val="64A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4323DA"/>
    <w:multiLevelType w:val="hybridMultilevel"/>
    <w:tmpl w:val="5962A1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8856BC"/>
    <w:multiLevelType w:val="hybridMultilevel"/>
    <w:tmpl w:val="7224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64096A"/>
    <w:multiLevelType w:val="hybridMultilevel"/>
    <w:tmpl w:val="D6121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5518AB"/>
    <w:multiLevelType w:val="hybridMultilevel"/>
    <w:tmpl w:val="2102B07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408C0BEB"/>
    <w:multiLevelType w:val="hybridMultilevel"/>
    <w:tmpl w:val="C69E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C75349"/>
    <w:multiLevelType w:val="hybridMultilevel"/>
    <w:tmpl w:val="C1DEF29A"/>
    <w:lvl w:ilvl="0" w:tplc="0409000F">
      <w:start w:val="1"/>
      <w:numFmt w:val="decimal"/>
      <w:lvlText w:val="%1."/>
      <w:lvlJc w:val="left"/>
      <w:pPr>
        <w:tabs>
          <w:tab w:val="num" w:pos="770"/>
        </w:tabs>
        <w:ind w:left="770" w:hanging="360"/>
      </w:p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0">
    <w:nsid w:val="44A05FF3"/>
    <w:multiLevelType w:val="hybridMultilevel"/>
    <w:tmpl w:val="5A7A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0469B2"/>
    <w:multiLevelType w:val="hybridMultilevel"/>
    <w:tmpl w:val="60263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881D3E"/>
    <w:multiLevelType w:val="hybridMultilevel"/>
    <w:tmpl w:val="00E83552"/>
    <w:lvl w:ilvl="0" w:tplc="B3428C4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B47291A"/>
    <w:multiLevelType w:val="hybridMultilevel"/>
    <w:tmpl w:val="E4EE131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nsid w:val="50631DC8"/>
    <w:multiLevelType w:val="hybridMultilevel"/>
    <w:tmpl w:val="7BBC7C22"/>
    <w:lvl w:ilvl="0" w:tplc="0409000F">
      <w:start w:val="1"/>
      <w:numFmt w:val="decimal"/>
      <w:lvlText w:val="%1."/>
      <w:lvlJc w:val="left"/>
      <w:pPr>
        <w:tabs>
          <w:tab w:val="num" w:pos="770"/>
        </w:tabs>
        <w:ind w:left="770" w:hanging="360"/>
      </w:pPr>
    </w:lvl>
    <w:lvl w:ilvl="1" w:tplc="04090019">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5">
    <w:nsid w:val="50A64049"/>
    <w:multiLevelType w:val="hybridMultilevel"/>
    <w:tmpl w:val="E3A6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nsid w:val="538F4AFA"/>
    <w:multiLevelType w:val="hybridMultilevel"/>
    <w:tmpl w:val="5C024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5DC80E96"/>
    <w:multiLevelType w:val="hybridMultilevel"/>
    <w:tmpl w:val="A734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55771B"/>
    <w:multiLevelType w:val="hybridMultilevel"/>
    <w:tmpl w:val="3C6687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1C7EDC"/>
    <w:multiLevelType w:val="hybridMultilevel"/>
    <w:tmpl w:val="2DD0F1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3C47FDE"/>
    <w:multiLevelType w:val="hybridMultilevel"/>
    <w:tmpl w:val="9E186A7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A7827AC"/>
    <w:multiLevelType w:val="hybridMultilevel"/>
    <w:tmpl w:val="26748CC4"/>
    <w:lvl w:ilvl="0" w:tplc="DF4CFD06">
      <w:start w:val="1"/>
      <w:numFmt w:val="bullet"/>
      <w:lvlText w:val="–"/>
      <w:lvlJc w:val="left"/>
      <w:pPr>
        <w:tabs>
          <w:tab w:val="num" w:pos="720"/>
        </w:tabs>
        <w:ind w:left="720" w:hanging="360"/>
      </w:pPr>
      <w:rPr>
        <w:rFonts w:ascii="Arial" w:hAnsi="Arial" w:hint="default"/>
      </w:rPr>
    </w:lvl>
    <w:lvl w:ilvl="1" w:tplc="8E12DBE6">
      <w:start w:val="1"/>
      <w:numFmt w:val="bullet"/>
      <w:lvlText w:val="–"/>
      <w:lvlJc w:val="left"/>
      <w:pPr>
        <w:tabs>
          <w:tab w:val="num" w:pos="1440"/>
        </w:tabs>
        <w:ind w:left="1440" w:hanging="360"/>
      </w:pPr>
      <w:rPr>
        <w:rFonts w:ascii="Arial" w:hAnsi="Arial" w:hint="default"/>
      </w:rPr>
    </w:lvl>
    <w:lvl w:ilvl="2" w:tplc="A1664078">
      <w:numFmt w:val="none"/>
      <w:lvlText w:val=""/>
      <w:lvlJc w:val="left"/>
      <w:pPr>
        <w:tabs>
          <w:tab w:val="num" w:pos="360"/>
        </w:tabs>
      </w:pPr>
    </w:lvl>
    <w:lvl w:ilvl="3" w:tplc="AA945DE2" w:tentative="1">
      <w:start w:val="1"/>
      <w:numFmt w:val="bullet"/>
      <w:lvlText w:val="–"/>
      <w:lvlJc w:val="left"/>
      <w:pPr>
        <w:tabs>
          <w:tab w:val="num" w:pos="2880"/>
        </w:tabs>
        <w:ind w:left="2880" w:hanging="360"/>
      </w:pPr>
      <w:rPr>
        <w:rFonts w:ascii="Arial" w:hAnsi="Arial" w:hint="default"/>
      </w:rPr>
    </w:lvl>
    <w:lvl w:ilvl="4" w:tplc="04022520" w:tentative="1">
      <w:start w:val="1"/>
      <w:numFmt w:val="bullet"/>
      <w:lvlText w:val="–"/>
      <w:lvlJc w:val="left"/>
      <w:pPr>
        <w:tabs>
          <w:tab w:val="num" w:pos="3600"/>
        </w:tabs>
        <w:ind w:left="3600" w:hanging="360"/>
      </w:pPr>
      <w:rPr>
        <w:rFonts w:ascii="Arial" w:hAnsi="Arial" w:hint="default"/>
      </w:rPr>
    </w:lvl>
    <w:lvl w:ilvl="5" w:tplc="93882E94" w:tentative="1">
      <w:start w:val="1"/>
      <w:numFmt w:val="bullet"/>
      <w:lvlText w:val="–"/>
      <w:lvlJc w:val="left"/>
      <w:pPr>
        <w:tabs>
          <w:tab w:val="num" w:pos="4320"/>
        </w:tabs>
        <w:ind w:left="4320" w:hanging="360"/>
      </w:pPr>
      <w:rPr>
        <w:rFonts w:ascii="Arial" w:hAnsi="Arial" w:hint="default"/>
      </w:rPr>
    </w:lvl>
    <w:lvl w:ilvl="6" w:tplc="56A09A18" w:tentative="1">
      <w:start w:val="1"/>
      <w:numFmt w:val="bullet"/>
      <w:lvlText w:val="–"/>
      <w:lvlJc w:val="left"/>
      <w:pPr>
        <w:tabs>
          <w:tab w:val="num" w:pos="5040"/>
        </w:tabs>
        <w:ind w:left="5040" w:hanging="360"/>
      </w:pPr>
      <w:rPr>
        <w:rFonts w:ascii="Arial" w:hAnsi="Arial" w:hint="default"/>
      </w:rPr>
    </w:lvl>
    <w:lvl w:ilvl="7" w:tplc="122C7A26" w:tentative="1">
      <w:start w:val="1"/>
      <w:numFmt w:val="bullet"/>
      <w:lvlText w:val="–"/>
      <w:lvlJc w:val="left"/>
      <w:pPr>
        <w:tabs>
          <w:tab w:val="num" w:pos="5760"/>
        </w:tabs>
        <w:ind w:left="5760" w:hanging="360"/>
      </w:pPr>
      <w:rPr>
        <w:rFonts w:ascii="Arial" w:hAnsi="Arial" w:hint="default"/>
      </w:rPr>
    </w:lvl>
    <w:lvl w:ilvl="8" w:tplc="9E325EB6"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8"/>
  </w:num>
  <w:num w:numId="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24"/>
  </w:num>
  <w:num w:numId="5">
    <w:abstractNumId w:val="4"/>
  </w:num>
  <w:num w:numId="6">
    <w:abstractNumId w:val="11"/>
  </w:num>
  <w:num w:numId="7">
    <w:abstractNumId w:val="8"/>
  </w:num>
  <w:num w:numId="8">
    <w:abstractNumId w:val="19"/>
  </w:num>
  <w:num w:numId="9">
    <w:abstractNumId w:val="22"/>
  </w:num>
  <w:num w:numId="10">
    <w:abstractNumId w:val="6"/>
  </w:num>
  <w:num w:numId="11">
    <w:abstractNumId w:val="14"/>
  </w:num>
  <w:num w:numId="12">
    <w:abstractNumId w:val="17"/>
  </w:num>
  <w:num w:numId="13">
    <w:abstractNumId w:val="5"/>
  </w:num>
  <w:num w:numId="14">
    <w:abstractNumId w:val="32"/>
  </w:num>
  <w:num w:numId="15">
    <w:abstractNumId w:val="30"/>
  </w:num>
  <w:num w:numId="16">
    <w:abstractNumId w:val="3"/>
  </w:num>
  <w:num w:numId="17">
    <w:abstractNumId w:val="9"/>
  </w:num>
  <w:num w:numId="18">
    <w:abstractNumId w:val="16"/>
  </w:num>
  <w:num w:numId="19">
    <w:abstractNumId w:val="26"/>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0"/>
  </w:num>
  <w:num w:numId="23">
    <w:abstractNumId w:val="2"/>
  </w:num>
  <w:num w:numId="24">
    <w:abstractNumId w:val="29"/>
  </w:num>
  <w:num w:numId="25">
    <w:abstractNumId w:val="23"/>
  </w:num>
  <w:num w:numId="26">
    <w:abstractNumId w:val="33"/>
  </w:num>
  <w:num w:numId="27">
    <w:abstractNumId w:val="18"/>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0"/>
  </w:num>
  <w:num w:numId="31">
    <w:abstractNumId w:val="7"/>
  </w:num>
  <w:num w:numId="32">
    <w:abstractNumId w:val="13"/>
  </w:num>
  <w:num w:numId="33">
    <w:abstractNumId w:val="31"/>
  </w:num>
  <w:num w:numId="34">
    <w:abstractNumId w:val="27"/>
  </w:num>
  <w:num w:numId="35">
    <w:abstractNumId w:val="25"/>
  </w:num>
  <w:num w:numId="36">
    <w:abstractNumId w:val="12"/>
  </w:num>
  <w:num w:numId="37">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21B0"/>
    <w:rsid w:val="000103AC"/>
    <w:rsid w:val="000166DE"/>
    <w:rsid w:val="000172A0"/>
    <w:rsid w:val="00022A67"/>
    <w:rsid w:val="00023924"/>
    <w:rsid w:val="000330BE"/>
    <w:rsid w:val="00040805"/>
    <w:rsid w:val="00040A77"/>
    <w:rsid w:val="0004121D"/>
    <w:rsid w:val="00043BA7"/>
    <w:rsid w:val="000471B9"/>
    <w:rsid w:val="000516ED"/>
    <w:rsid w:val="00053BBC"/>
    <w:rsid w:val="00054289"/>
    <w:rsid w:val="000555CF"/>
    <w:rsid w:val="00063F43"/>
    <w:rsid w:val="00065781"/>
    <w:rsid w:val="000661E4"/>
    <w:rsid w:val="0007700F"/>
    <w:rsid w:val="00085D2E"/>
    <w:rsid w:val="00091166"/>
    <w:rsid w:val="00093FF8"/>
    <w:rsid w:val="000A23B1"/>
    <w:rsid w:val="000A39E4"/>
    <w:rsid w:val="000B0A53"/>
    <w:rsid w:val="000B40F8"/>
    <w:rsid w:val="000D3A44"/>
    <w:rsid w:val="000D60B1"/>
    <w:rsid w:val="000E0A4D"/>
    <w:rsid w:val="000E351F"/>
    <w:rsid w:val="000F3925"/>
    <w:rsid w:val="001026FB"/>
    <w:rsid w:val="00106101"/>
    <w:rsid w:val="00113288"/>
    <w:rsid w:val="00121A92"/>
    <w:rsid w:val="00122D49"/>
    <w:rsid w:val="00124CAB"/>
    <w:rsid w:val="00124FC4"/>
    <w:rsid w:val="00125E6C"/>
    <w:rsid w:val="00126007"/>
    <w:rsid w:val="00126C5B"/>
    <w:rsid w:val="00130247"/>
    <w:rsid w:val="0013228A"/>
    <w:rsid w:val="00147E3B"/>
    <w:rsid w:val="001530CA"/>
    <w:rsid w:val="00153D32"/>
    <w:rsid w:val="001637B1"/>
    <w:rsid w:val="00163E46"/>
    <w:rsid w:val="001672F2"/>
    <w:rsid w:val="001711DA"/>
    <w:rsid w:val="001719A2"/>
    <w:rsid w:val="001740D3"/>
    <w:rsid w:val="00175702"/>
    <w:rsid w:val="001771A5"/>
    <w:rsid w:val="00182382"/>
    <w:rsid w:val="00185533"/>
    <w:rsid w:val="00185F8C"/>
    <w:rsid w:val="00187799"/>
    <w:rsid w:val="00190471"/>
    <w:rsid w:val="00196379"/>
    <w:rsid w:val="001A58CF"/>
    <w:rsid w:val="001B0649"/>
    <w:rsid w:val="001B171E"/>
    <w:rsid w:val="001B391D"/>
    <w:rsid w:val="001D25BE"/>
    <w:rsid w:val="001D70ED"/>
    <w:rsid w:val="001E0D4F"/>
    <w:rsid w:val="001E177E"/>
    <w:rsid w:val="001E26C6"/>
    <w:rsid w:val="001E377C"/>
    <w:rsid w:val="001E677F"/>
    <w:rsid w:val="001F527F"/>
    <w:rsid w:val="001F7546"/>
    <w:rsid w:val="002009FC"/>
    <w:rsid w:val="00201722"/>
    <w:rsid w:val="0022262E"/>
    <w:rsid w:val="0022758F"/>
    <w:rsid w:val="00231B21"/>
    <w:rsid w:val="00232729"/>
    <w:rsid w:val="00233D0F"/>
    <w:rsid w:val="00233F02"/>
    <w:rsid w:val="00243D0F"/>
    <w:rsid w:val="00246849"/>
    <w:rsid w:val="00250CA5"/>
    <w:rsid w:val="00252F36"/>
    <w:rsid w:val="002558C3"/>
    <w:rsid w:val="00257DAC"/>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68AD"/>
    <w:rsid w:val="002A75BE"/>
    <w:rsid w:val="002B0EC7"/>
    <w:rsid w:val="002B3E59"/>
    <w:rsid w:val="002B5583"/>
    <w:rsid w:val="002B6B85"/>
    <w:rsid w:val="002C5988"/>
    <w:rsid w:val="002C7A99"/>
    <w:rsid w:val="002D0174"/>
    <w:rsid w:val="002D3EA5"/>
    <w:rsid w:val="002D72F2"/>
    <w:rsid w:val="002E41C5"/>
    <w:rsid w:val="002E7B05"/>
    <w:rsid w:val="002F07EA"/>
    <w:rsid w:val="002F42B3"/>
    <w:rsid w:val="002F7409"/>
    <w:rsid w:val="002F78E0"/>
    <w:rsid w:val="003028E1"/>
    <w:rsid w:val="00305004"/>
    <w:rsid w:val="00317417"/>
    <w:rsid w:val="00320575"/>
    <w:rsid w:val="00321F5B"/>
    <w:rsid w:val="003238A2"/>
    <w:rsid w:val="00324FCE"/>
    <w:rsid w:val="00327B6B"/>
    <w:rsid w:val="00331C24"/>
    <w:rsid w:val="00332CA3"/>
    <w:rsid w:val="003374F6"/>
    <w:rsid w:val="00341591"/>
    <w:rsid w:val="00345C29"/>
    <w:rsid w:val="00356744"/>
    <w:rsid w:val="0036066F"/>
    <w:rsid w:val="003606E7"/>
    <w:rsid w:val="0036162C"/>
    <w:rsid w:val="00361AF8"/>
    <w:rsid w:val="003665E6"/>
    <w:rsid w:val="00367047"/>
    <w:rsid w:val="00374AF2"/>
    <w:rsid w:val="00375080"/>
    <w:rsid w:val="0037766D"/>
    <w:rsid w:val="0038175D"/>
    <w:rsid w:val="00386750"/>
    <w:rsid w:val="00390DE9"/>
    <w:rsid w:val="00397811"/>
    <w:rsid w:val="003B3E3A"/>
    <w:rsid w:val="003B4722"/>
    <w:rsid w:val="003B4DD8"/>
    <w:rsid w:val="003C18B8"/>
    <w:rsid w:val="003C2025"/>
    <w:rsid w:val="003C6111"/>
    <w:rsid w:val="003C682F"/>
    <w:rsid w:val="003C70CA"/>
    <w:rsid w:val="003C780A"/>
    <w:rsid w:val="003D08C5"/>
    <w:rsid w:val="003D5BB8"/>
    <w:rsid w:val="003E23C8"/>
    <w:rsid w:val="003E2AAB"/>
    <w:rsid w:val="003F38FD"/>
    <w:rsid w:val="003F52AD"/>
    <w:rsid w:val="003F69B1"/>
    <w:rsid w:val="004038D1"/>
    <w:rsid w:val="004149D0"/>
    <w:rsid w:val="00421B35"/>
    <w:rsid w:val="00421D3B"/>
    <w:rsid w:val="00430016"/>
    <w:rsid w:val="00432A8D"/>
    <w:rsid w:val="004331CF"/>
    <w:rsid w:val="004401AB"/>
    <w:rsid w:val="004421E3"/>
    <w:rsid w:val="00443632"/>
    <w:rsid w:val="0044517D"/>
    <w:rsid w:val="00447F53"/>
    <w:rsid w:val="00454E50"/>
    <w:rsid w:val="0046211C"/>
    <w:rsid w:val="00466D70"/>
    <w:rsid w:val="00467D33"/>
    <w:rsid w:val="00474F2A"/>
    <w:rsid w:val="0047771D"/>
    <w:rsid w:val="00483D33"/>
    <w:rsid w:val="004841EB"/>
    <w:rsid w:val="00484A74"/>
    <w:rsid w:val="00485179"/>
    <w:rsid w:val="00485ED6"/>
    <w:rsid w:val="00492F57"/>
    <w:rsid w:val="00493B5A"/>
    <w:rsid w:val="004941AC"/>
    <w:rsid w:val="00495BB0"/>
    <w:rsid w:val="004968A2"/>
    <w:rsid w:val="004A3E83"/>
    <w:rsid w:val="004B0918"/>
    <w:rsid w:val="004B571D"/>
    <w:rsid w:val="004B789C"/>
    <w:rsid w:val="004D54F9"/>
    <w:rsid w:val="004D6138"/>
    <w:rsid w:val="004D650E"/>
    <w:rsid w:val="004E30B4"/>
    <w:rsid w:val="004F3E52"/>
    <w:rsid w:val="005024E8"/>
    <w:rsid w:val="00502F4E"/>
    <w:rsid w:val="00505439"/>
    <w:rsid w:val="00510CC6"/>
    <w:rsid w:val="005137B7"/>
    <w:rsid w:val="00514975"/>
    <w:rsid w:val="0052125F"/>
    <w:rsid w:val="00527E84"/>
    <w:rsid w:val="00530370"/>
    <w:rsid w:val="00531634"/>
    <w:rsid w:val="005317D1"/>
    <w:rsid w:val="00553808"/>
    <w:rsid w:val="0056210C"/>
    <w:rsid w:val="005646CA"/>
    <w:rsid w:val="005700B8"/>
    <w:rsid w:val="005708F3"/>
    <w:rsid w:val="005732D3"/>
    <w:rsid w:val="00575C90"/>
    <w:rsid w:val="00580E9B"/>
    <w:rsid w:val="00581910"/>
    <w:rsid w:val="005837DE"/>
    <w:rsid w:val="00590771"/>
    <w:rsid w:val="00593C0C"/>
    <w:rsid w:val="005950DD"/>
    <w:rsid w:val="005A066C"/>
    <w:rsid w:val="005A18E4"/>
    <w:rsid w:val="005A1B2B"/>
    <w:rsid w:val="005A4B57"/>
    <w:rsid w:val="005A4C52"/>
    <w:rsid w:val="005B461A"/>
    <w:rsid w:val="005C42D6"/>
    <w:rsid w:val="005D1A91"/>
    <w:rsid w:val="005D50D8"/>
    <w:rsid w:val="005D51BB"/>
    <w:rsid w:val="005D5DA0"/>
    <w:rsid w:val="005D614A"/>
    <w:rsid w:val="005D784D"/>
    <w:rsid w:val="005D7F78"/>
    <w:rsid w:val="005E2FBB"/>
    <w:rsid w:val="005E6D32"/>
    <w:rsid w:val="005E7CF2"/>
    <w:rsid w:val="005F601C"/>
    <w:rsid w:val="005F7401"/>
    <w:rsid w:val="00602B70"/>
    <w:rsid w:val="006056AC"/>
    <w:rsid w:val="00605B12"/>
    <w:rsid w:val="006142A2"/>
    <w:rsid w:val="0061546A"/>
    <w:rsid w:val="0061619E"/>
    <w:rsid w:val="00617FD9"/>
    <w:rsid w:val="00617FF4"/>
    <w:rsid w:val="00624C4C"/>
    <w:rsid w:val="00627806"/>
    <w:rsid w:val="00633E0D"/>
    <w:rsid w:val="00641151"/>
    <w:rsid w:val="00642FCA"/>
    <w:rsid w:val="00644C52"/>
    <w:rsid w:val="0064527B"/>
    <w:rsid w:val="00652620"/>
    <w:rsid w:val="00653965"/>
    <w:rsid w:val="00655CEB"/>
    <w:rsid w:val="00660F8E"/>
    <w:rsid w:val="00661971"/>
    <w:rsid w:val="00667B38"/>
    <w:rsid w:val="00671937"/>
    <w:rsid w:val="006730CA"/>
    <w:rsid w:val="00693412"/>
    <w:rsid w:val="00694EF6"/>
    <w:rsid w:val="006C573A"/>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402EB"/>
    <w:rsid w:val="00740E4D"/>
    <w:rsid w:val="00740ED1"/>
    <w:rsid w:val="00741882"/>
    <w:rsid w:val="00747ABB"/>
    <w:rsid w:val="007526DA"/>
    <w:rsid w:val="00754104"/>
    <w:rsid w:val="00754242"/>
    <w:rsid w:val="0075501A"/>
    <w:rsid w:val="007560AC"/>
    <w:rsid w:val="00766296"/>
    <w:rsid w:val="0077022B"/>
    <w:rsid w:val="00770CF7"/>
    <w:rsid w:val="00773DFF"/>
    <w:rsid w:val="007746B5"/>
    <w:rsid w:val="00781BF7"/>
    <w:rsid w:val="00781EA7"/>
    <w:rsid w:val="007A0D8F"/>
    <w:rsid w:val="007A446A"/>
    <w:rsid w:val="007A447D"/>
    <w:rsid w:val="007A4C0C"/>
    <w:rsid w:val="007B14C6"/>
    <w:rsid w:val="007B3CB0"/>
    <w:rsid w:val="007B7F83"/>
    <w:rsid w:val="007C2EC7"/>
    <w:rsid w:val="007C5A63"/>
    <w:rsid w:val="007D3D8F"/>
    <w:rsid w:val="007E1592"/>
    <w:rsid w:val="007E7BDE"/>
    <w:rsid w:val="007F13A9"/>
    <w:rsid w:val="007F4D69"/>
    <w:rsid w:val="007F65B1"/>
    <w:rsid w:val="007F6644"/>
    <w:rsid w:val="008005BA"/>
    <w:rsid w:val="00801249"/>
    <w:rsid w:val="00802C28"/>
    <w:rsid w:val="00803DAC"/>
    <w:rsid w:val="00804861"/>
    <w:rsid w:val="008070CF"/>
    <w:rsid w:val="00811148"/>
    <w:rsid w:val="00815C17"/>
    <w:rsid w:val="00817203"/>
    <w:rsid w:val="008208E6"/>
    <w:rsid w:val="008316A1"/>
    <w:rsid w:val="00833683"/>
    <w:rsid w:val="00833738"/>
    <w:rsid w:val="00834281"/>
    <w:rsid w:val="008345ED"/>
    <w:rsid w:val="00840BDD"/>
    <w:rsid w:val="008531EB"/>
    <w:rsid w:val="008661ED"/>
    <w:rsid w:val="00867214"/>
    <w:rsid w:val="0087125B"/>
    <w:rsid w:val="008725F3"/>
    <w:rsid w:val="008732E1"/>
    <w:rsid w:val="008735D1"/>
    <w:rsid w:val="00874F09"/>
    <w:rsid w:val="00880C10"/>
    <w:rsid w:val="00880CBE"/>
    <w:rsid w:val="008813FB"/>
    <w:rsid w:val="0088154C"/>
    <w:rsid w:val="00887B86"/>
    <w:rsid w:val="0089136B"/>
    <w:rsid w:val="0089176B"/>
    <w:rsid w:val="00895731"/>
    <w:rsid w:val="00897304"/>
    <w:rsid w:val="008A39FF"/>
    <w:rsid w:val="008A4725"/>
    <w:rsid w:val="008A47BE"/>
    <w:rsid w:val="008B14A9"/>
    <w:rsid w:val="008C0E04"/>
    <w:rsid w:val="008C2533"/>
    <w:rsid w:val="008C29AE"/>
    <w:rsid w:val="008C3515"/>
    <w:rsid w:val="008C3EDC"/>
    <w:rsid w:val="008D03C6"/>
    <w:rsid w:val="008D17F4"/>
    <w:rsid w:val="008D1C80"/>
    <w:rsid w:val="008E70A5"/>
    <w:rsid w:val="008E7795"/>
    <w:rsid w:val="008F3ABE"/>
    <w:rsid w:val="00905DFD"/>
    <w:rsid w:val="0091424C"/>
    <w:rsid w:val="0091671A"/>
    <w:rsid w:val="0092031C"/>
    <w:rsid w:val="0092455F"/>
    <w:rsid w:val="009253CD"/>
    <w:rsid w:val="009265BC"/>
    <w:rsid w:val="00926847"/>
    <w:rsid w:val="00935284"/>
    <w:rsid w:val="00935539"/>
    <w:rsid w:val="00937375"/>
    <w:rsid w:val="00944BBE"/>
    <w:rsid w:val="00955A14"/>
    <w:rsid w:val="00956E38"/>
    <w:rsid w:val="00957D44"/>
    <w:rsid w:val="009606E1"/>
    <w:rsid w:val="009622E7"/>
    <w:rsid w:val="00963851"/>
    <w:rsid w:val="0097158B"/>
    <w:rsid w:val="00971CA9"/>
    <w:rsid w:val="00973D7A"/>
    <w:rsid w:val="00982AEB"/>
    <w:rsid w:val="00983623"/>
    <w:rsid w:val="0099373E"/>
    <w:rsid w:val="0099399A"/>
    <w:rsid w:val="009A1227"/>
    <w:rsid w:val="009A13AA"/>
    <w:rsid w:val="009A1A53"/>
    <w:rsid w:val="009A3407"/>
    <w:rsid w:val="009B1795"/>
    <w:rsid w:val="009B76EE"/>
    <w:rsid w:val="009C097B"/>
    <w:rsid w:val="009C5A7D"/>
    <w:rsid w:val="009C78AD"/>
    <w:rsid w:val="009D1031"/>
    <w:rsid w:val="009D2D54"/>
    <w:rsid w:val="009E0530"/>
    <w:rsid w:val="009F7D04"/>
    <w:rsid w:val="009F7D9B"/>
    <w:rsid w:val="00A02410"/>
    <w:rsid w:val="00A048AA"/>
    <w:rsid w:val="00A06DCD"/>
    <w:rsid w:val="00A0731A"/>
    <w:rsid w:val="00A07451"/>
    <w:rsid w:val="00A11E7D"/>
    <w:rsid w:val="00A242B3"/>
    <w:rsid w:val="00A265CA"/>
    <w:rsid w:val="00A266C3"/>
    <w:rsid w:val="00A3008B"/>
    <w:rsid w:val="00A3015E"/>
    <w:rsid w:val="00A420AB"/>
    <w:rsid w:val="00A42FBA"/>
    <w:rsid w:val="00A46644"/>
    <w:rsid w:val="00A51EF3"/>
    <w:rsid w:val="00A5294C"/>
    <w:rsid w:val="00A55505"/>
    <w:rsid w:val="00A62AF0"/>
    <w:rsid w:val="00A63E84"/>
    <w:rsid w:val="00A70073"/>
    <w:rsid w:val="00A7214B"/>
    <w:rsid w:val="00A74081"/>
    <w:rsid w:val="00A7538A"/>
    <w:rsid w:val="00A77567"/>
    <w:rsid w:val="00A82D25"/>
    <w:rsid w:val="00A86EB1"/>
    <w:rsid w:val="00A936D8"/>
    <w:rsid w:val="00A96236"/>
    <w:rsid w:val="00AA1947"/>
    <w:rsid w:val="00AB21D4"/>
    <w:rsid w:val="00AC0509"/>
    <w:rsid w:val="00AD36EF"/>
    <w:rsid w:val="00AE5574"/>
    <w:rsid w:val="00AE569B"/>
    <w:rsid w:val="00AE7435"/>
    <w:rsid w:val="00AE7A36"/>
    <w:rsid w:val="00AF594D"/>
    <w:rsid w:val="00B004C4"/>
    <w:rsid w:val="00B02DFB"/>
    <w:rsid w:val="00B063EB"/>
    <w:rsid w:val="00B074C9"/>
    <w:rsid w:val="00B105B9"/>
    <w:rsid w:val="00B1463E"/>
    <w:rsid w:val="00B1504F"/>
    <w:rsid w:val="00B15B8F"/>
    <w:rsid w:val="00B16C0D"/>
    <w:rsid w:val="00B17296"/>
    <w:rsid w:val="00B20908"/>
    <w:rsid w:val="00B2165D"/>
    <w:rsid w:val="00B2279B"/>
    <w:rsid w:val="00B234D0"/>
    <w:rsid w:val="00B4117E"/>
    <w:rsid w:val="00B425A0"/>
    <w:rsid w:val="00B4268F"/>
    <w:rsid w:val="00B45035"/>
    <w:rsid w:val="00B51B9E"/>
    <w:rsid w:val="00B57D63"/>
    <w:rsid w:val="00B61894"/>
    <w:rsid w:val="00B63680"/>
    <w:rsid w:val="00B6414A"/>
    <w:rsid w:val="00B652E9"/>
    <w:rsid w:val="00B74AF9"/>
    <w:rsid w:val="00B77382"/>
    <w:rsid w:val="00B83A8E"/>
    <w:rsid w:val="00B85CCE"/>
    <w:rsid w:val="00B85E74"/>
    <w:rsid w:val="00B87DD2"/>
    <w:rsid w:val="00B913AA"/>
    <w:rsid w:val="00B950A7"/>
    <w:rsid w:val="00B96CCF"/>
    <w:rsid w:val="00B96F8D"/>
    <w:rsid w:val="00BA71F6"/>
    <w:rsid w:val="00BB002C"/>
    <w:rsid w:val="00BB3BE1"/>
    <w:rsid w:val="00BC68CB"/>
    <w:rsid w:val="00BC6BF7"/>
    <w:rsid w:val="00BD187F"/>
    <w:rsid w:val="00BD62A6"/>
    <w:rsid w:val="00BD796C"/>
    <w:rsid w:val="00BF332A"/>
    <w:rsid w:val="00BF5735"/>
    <w:rsid w:val="00BF628B"/>
    <w:rsid w:val="00C033A0"/>
    <w:rsid w:val="00C0752C"/>
    <w:rsid w:val="00C10E48"/>
    <w:rsid w:val="00C122AE"/>
    <w:rsid w:val="00C37868"/>
    <w:rsid w:val="00C52CE1"/>
    <w:rsid w:val="00C53A2C"/>
    <w:rsid w:val="00C54580"/>
    <w:rsid w:val="00C61158"/>
    <w:rsid w:val="00C65269"/>
    <w:rsid w:val="00C661CF"/>
    <w:rsid w:val="00C710ED"/>
    <w:rsid w:val="00C73732"/>
    <w:rsid w:val="00C752FB"/>
    <w:rsid w:val="00C77E6D"/>
    <w:rsid w:val="00C80D9B"/>
    <w:rsid w:val="00C81787"/>
    <w:rsid w:val="00C86FDB"/>
    <w:rsid w:val="00C87072"/>
    <w:rsid w:val="00C91283"/>
    <w:rsid w:val="00C92F96"/>
    <w:rsid w:val="00C968BC"/>
    <w:rsid w:val="00C97B3F"/>
    <w:rsid w:val="00C97BF8"/>
    <w:rsid w:val="00CA6A3D"/>
    <w:rsid w:val="00CA72E4"/>
    <w:rsid w:val="00CB371D"/>
    <w:rsid w:val="00CB735D"/>
    <w:rsid w:val="00CC0617"/>
    <w:rsid w:val="00CD03DD"/>
    <w:rsid w:val="00CD0E0C"/>
    <w:rsid w:val="00CD55B8"/>
    <w:rsid w:val="00CD59EA"/>
    <w:rsid w:val="00CD7F45"/>
    <w:rsid w:val="00CE0C17"/>
    <w:rsid w:val="00CF0A2D"/>
    <w:rsid w:val="00D01418"/>
    <w:rsid w:val="00D0226B"/>
    <w:rsid w:val="00D03467"/>
    <w:rsid w:val="00D110C3"/>
    <w:rsid w:val="00D11D78"/>
    <w:rsid w:val="00D15A55"/>
    <w:rsid w:val="00D16B45"/>
    <w:rsid w:val="00D16D1B"/>
    <w:rsid w:val="00D220E7"/>
    <w:rsid w:val="00D25E6B"/>
    <w:rsid w:val="00D27E90"/>
    <w:rsid w:val="00D30EF0"/>
    <w:rsid w:val="00D31457"/>
    <w:rsid w:val="00D33B76"/>
    <w:rsid w:val="00D40331"/>
    <w:rsid w:val="00D56FA9"/>
    <w:rsid w:val="00D646C7"/>
    <w:rsid w:val="00D658EB"/>
    <w:rsid w:val="00D71AFB"/>
    <w:rsid w:val="00D73C7E"/>
    <w:rsid w:val="00D74B55"/>
    <w:rsid w:val="00D75137"/>
    <w:rsid w:val="00D767CE"/>
    <w:rsid w:val="00D8234A"/>
    <w:rsid w:val="00D8508C"/>
    <w:rsid w:val="00DA2F0B"/>
    <w:rsid w:val="00DC011D"/>
    <w:rsid w:val="00DD73EF"/>
    <w:rsid w:val="00DE1DB2"/>
    <w:rsid w:val="00DE3C96"/>
    <w:rsid w:val="00DE44D0"/>
    <w:rsid w:val="00DF39B6"/>
    <w:rsid w:val="00DF47F2"/>
    <w:rsid w:val="00DF604D"/>
    <w:rsid w:val="00E03784"/>
    <w:rsid w:val="00E05435"/>
    <w:rsid w:val="00E05D4F"/>
    <w:rsid w:val="00E07B8B"/>
    <w:rsid w:val="00E12466"/>
    <w:rsid w:val="00E23E65"/>
    <w:rsid w:val="00E2637F"/>
    <w:rsid w:val="00E36815"/>
    <w:rsid w:val="00E404E9"/>
    <w:rsid w:val="00E44298"/>
    <w:rsid w:val="00E44529"/>
    <w:rsid w:val="00E460C0"/>
    <w:rsid w:val="00E50C95"/>
    <w:rsid w:val="00E51297"/>
    <w:rsid w:val="00E52F39"/>
    <w:rsid w:val="00E60B51"/>
    <w:rsid w:val="00E655FC"/>
    <w:rsid w:val="00E717F5"/>
    <w:rsid w:val="00E7716C"/>
    <w:rsid w:val="00E853F3"/>
    <w:rsid w:val="00E916D2"/>
    <w:rsid w:val="00E95806"/>
    <w:rsid w:val="00EA0FFE"/>
    <w:rsid w:val="00EA1910"/>
    <w:rsid w:val="00EA5478"/>
    <w:rsid w:val="00EA59D3"/>
    <w:rsid w:val="00EB2A2A"/>
    <w:rsid w:val="00EB70B9"/>
    <w:rsid w:val="00EC4961"/>
    <w:rsid w:val="00ED1119"/>
    <w:rsid w:val="00ED24E8"/>
    <w:rsid w:val="00EE0916"/>
    <w:rsid w:val="00EE1B51"/>
    <w:rsid w:val="00EE2F19"/>
    <w:rsid w:val="00EE33FF"/>
    <w:rsid w:val="00EF04F8"/>
    <w:rsid w:val="00EF0661"/>
    <w:rsid w:val="00EF1B9D"/>
    <w:rsid w:val="00F03C41"/>
    <w:rsid w:val="00F06CCA"/>
    <w:rsid w:val="00F24F8B"/>
    <w:rsid w:val="00F25E2E"/>
    <w:rsid w:val="00F2670B"/>
    <w:rsid w:val="00F27E11"/>
    <w:rsid w:val="00F3082A"/>
    <w:rsid w:val="00F37F1A"/>
    <w:rsid w:val="00F402F9"/>
    <w:rsid w:val="00F4041D"/>
    <w:rsid w:val="00F40AE3"/>
    <w:rsid w:val="00F43594"/>
    <w:rsid w:val="00F44E19"/>
    <w:rsid w:val="00F54322"/>
    <w:rsid w:val="00F547CE"/>
    <w:rsid w:val="00F60DEA"/>
    <w:rsid w:val="00F64536"/>
    <w:rsid w:val="00F64DF6"/>
    <w:rsid w:val="00F67B35"/>
    <w:rsid w:val="00F70967"/>
    <w:rsid w:val="00F73796"/>
    <w:rsid w:val="00F75BF8"/>
    <w:rsid w:val="00F774F6"/>
    <w:rsid w:val="00F77CBE"/>
    <w:rsid w:val="00F835A9"/>
    <w:rsid w:val="00F875D1"/>
    <w:rsid w:val="00F8781A"/>
    <w:rsid w:val="00F87A25"/>
    <w:rsid w:val="00F87DC6"/>
    <w:rsid w:val="00F926AD"/>
    <w:rsid w:val="00F93A36"/>
    <w:rsid w:val="00F96B42"/>
    <w:rsid w:val="00FA1B3A"/>
    <w:rsid w:val="00FA440D"/>
    <w:rsid w:val="00FB370A"/>
    <w:rsid w:val="00FB3C7D"/>
    <w:rsid w:val="00FC036D"/>
    <w:rsid w:val="00FC668C"/>
    <w:rsid w:val="00FD0005"/>
    <w:rsid w:val="00FD069A"/>
    <w:rsid w:val="00FD073A"/>
    <w:rsid w:val="00FD5F21"/>
    <w:rsid w:val="00FE3188"/>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28972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No Spacing" w:qFormat="1"/>
    <w:lsdException w:name="Medium Grid 2" w:uiPriority="1"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No Spacing" w:qFormat="1"/>
    <w:lsdException w:name="Medium Grid 2" w:uiPriority="1"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 template\3gpp_70.dot</Template>
  <TotalTime>108</TotalTime>
  <Pages>2</Pages>
  <Words>723</Words>
  <Characters>4123</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4837</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John Kim</cp:lastModifiedBy>
  <cp:revision>29</cp:revision>
  <cp:lastPrinted>2007-09-06T19:59:00Z</cp:lastPrinted>
  <dcterms:created xsi:type="dcterms:W3CDTF">2014-11-05T19:28:00Z</dcterms:created>
  <dcterms:modified xsi:type="dcterms:W3CDTF">2015-02-02T13:40:00Z</dcterms:modified>
</cp:coreProperties>
</file>